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14CAE">
      <w:pPr>
        <w:spacing w:after="0" w:line="240" w:lineRule="auto"/>
        <w:rPr>
          <w:rFonts w:cstheme="minorHAnsi"/>
        </w:rPr>
      </w:pPr>
      <w:r>
        <w:rPr>
          <w:rFonts w:cstheme="minorHAnsi"/>
        </w:rPr>
        <w:t>Príloha č. 1 Zmluvy o dielo</w:t>
      </w:r>
    </w:p>
    <w:p w14:paraId="4113EDB7">
      <w:pPr>
        <w:spacing w:after="0" w:line="240" w:lineRule="auto"/>
        <w:jc w:val="center"/>
        <w:rPr>
          <w:rFonts w:cstheme="minorHAnsi"/>
          <w:b/>
          <w:bCs/>
        </w:rPr>
      </w:pPr>
    </w:p>
    <w:p w14:paraId="68F04439">
      <w:pPr>
        <w:spacing w:after="0" w:line="240" w:lineRule="auto"/>
        <w:jc w:val="center"/>
        <w:rPr>
          <w:rFonts w:cstheme="minorHAnsi"/>
          <w:b/>
          <w:bCs/>
          <w:sz w:val="28"/>
          <w:szCs w:val="28"/>
        </w:rPr>
      </w:pPr>
      <w:r>
        <w:rPr>
          <w:rFonts w:cstheme="minorHAnsi"/>
          <w:b/>
          <w:bCs/>
          <w:sz w:val="28"/>
          <w:szCs w:val="28"/>
        </w:rPr>
        <w:t>Opis predmetu zákazky</w:t>
      </w:r>
    </w:p>
    <w:p w14:paraId="69F3926B">
      <w:pPr>
        <w:spacing w:after="0" w:line="240" w:lineRule="auto"/>
        <w:jc w:val="both"/>
        <w:rPr>
          <w:rFonts w:cstheme="minorHAnsi"/>
          <w:b/>
          <w:bCs/>
        </w:rPr>
      </w:pPr>
    </w:p>
    <w:p w14:paraId="6529BE93">
      <w:pPr>
        <w:spacing w:after="0" w:line="240" w:lineRule="auto"/>
        <w:ind w:right="-113"/>
        <w:jc w:val="both"/>
        <w:rPr>
          <w:rFonts w:cstheme="minorHAnsi"/>
          <w:b/>
          <w:u w:val="single"/>
        </w:rPr>
      </w:pPr>
    </w:p>
    <w:p w14:paraId="082700BD">
      <w:pPr>
        <w:spacing w:after="0" w:line="240" w:lineRule="auto"/>
        <w:ind w:right="-113"/>
        <w:jc w:val="both"/>
        <w:rPr>
          <w:rFonts w:cstheme="minorHAnsi"/>
          <w:b/>
          <w:sz w:val="28"/>
          <w:szCs w:val="28"/>
          <w:u w:val="single"/>
        </w:rPr>
      </w:pPr>
      <w:r>
        <w:rPr>
          <w:rFonts w:cstheme="minorHAnsi"/>
          <w:b/>
          <w:sz w:val="28"/>
          <w:szCs w:val="28"/>
          <w:u w:val="single"/>
        </w:rPr>
        <w:t>Názov zákazky: „Rýchle energetické opatrenia na zvýšenie energetickej efektívnosti Pracoviska odborného výcviku SOŠ obchodu a služieb, Rimavská Sobota“</w:t>
      </w:r>
    </w:p>
    <w:p w14:paraId="00C560E7">
      <w:pPr>
        <w:spacing w:after="0" w:line="240" w:lineRule="auto"/>
        <w:ind w:right="-113"/>
        <w:jc w:val="both"/>
        <w:rPr>
          <w:rFonts w:cstheme="minorHAnsi"/>
        </w:rPr>
      </w:pPr>
    </w:p>
    <w:p w14:paraId="280586BC">
      <w:pPr>
        <w:spacing w:after="0" w:line="240" w:lineRule="auto"/>
        <w:ind w:right="-113"/>
        <w:jc w:val="both"/>
        <w:rPr>
          <w:rFonts w:cstheme="minorHAnsi"/>
          <w:b/>
          <w:u w:val="single"/>
        </w:rPr>
      </w:pPr>
    </w:p>
    <w:p w14:paraId="1E8345DA">
      <w:pPr>
        <w:spacing w:after="0" w:line="240" w:lineRule="auto"/>
        <w:ind w:right="-113"/>
        <w:jc w:val="both"/>
        <w:rPr>
          <w:rFonts w:cstheme="minorHAnsi"/>
        </w:rPr>
      </w:pPr>
      <w:r>
        <w:rPr>
          <w:rFonts w:cstheme="minorHAnsi"/>
          <w:b/>
          <w:u w:val="single"/>
        </w:rPr>
        <w:t>Druh zákazky</w:t>
      </w:r>
      <w:r>
        <w:rPr>
          <w:rFonts w:cstheme="minorHAnsi"/>
        </w:rPr>
        <w:t xml:space="preserve">:     </w:t>
      </w:r>
    </w:p>
    <w:p w14:paraId="2F232781">
      <w:pPr>
        <w:spacing w:after="0" w:line="240" w:lineRule="auto"/>
        <w:ind w:right="-113"/>
        <w:jc w:val="both"/>
        <w:rPr>
          <w:rFonts w:cstheme="minorHAnsi"/>
        </w:rPr>
      </w:pPr>
      <w:r>
        <w:rPr>
          <w:rFonts w:cstheme="minorHAnsi"/>
        </w:rPr>
        <w:t>Zákazka na stavebné práce</w:t>
      </w:r>
    </w:p>
    <w:p w14:paraId="4D0C20A2">
      <w:pPr>
        <w:spacing w:after="0" w:line="240" w:lineRule="auto"/>
        <w:ind w:right="-113"/>
        <w:jc w:val="both"/>
        <w:rPr>
          <w:rFonts w:cstheme="minorHAnsi"/>
        </w:rPr>
      </w:pPr>
    </w:p>
    <w:p w14:paraId="6CE5216F">
      <w:pPr>
        <w:spacing w:after="0" w:line="240" w:lineRule="auto"/>
        <w:ind w:right="-113"/>
        <w:jc w:val="both"/>
        <w:rPr>
          <w:rFonts w:cstheme="minorHAnsi"/>
        </w:rPr>
      </w:pPr>
      <w:r>
        <w:rPr>
          <w:rFonts w:cstheme="minorHAnsi"/>
          <w:b/>
          <w:bCs/>
          <w:u w:val="single"/>
        </w:rPr>
        <w:t>Predpokladaná dĺžka požadovaného plnenia</w:t>
      </w:r>
      <w:r>
        <w:rPr>
          <w:rFonts w:cstheme="minorHAnsi"/>
        </w:rPr>
        <w:t xml:space="preserve">: </w:t>
      </w:r>
    </w:p>
    <w:p w14:paraId="4AC2EC68">
      <w:pPr>
        <w:spacing w:after="0" w:line="240" w:lineRule="auto"/>
        <w:ind w:right="-113"/>
        <w:jc w:val="both"/>
        <w:rPr>
          <w:rFonts w:hint="default" w:cstheme="minorHAnsi"/>
          <w:lang w:val="sk-SK"/>
        </w:rPr>
      </w:pPr>
      <w:r>
        <w:rPr>
          <w:rFonts w:cstheme="minorHAnsi"/>
        </w:rPr>
        <w:t>100 dní od začatia realizácie stavby</w:t>
      </w:r>
      <w:r>
        <w:rPr>
          <w:rFonts w:hint="default" w:cstheme="minorHAnsi"/>
          <w:lang w:val="sk-SK"/>
        </w:rPr>
        <w:t>.</w:t>
      </w:r>
    </w:p>
    <w:p w14:paraId="7FB417B6">
      <w:pPr>
        <w:spacing w:after="0" w:line="240" w:lineRule="auto"/>
        <w:ind w:right="-113"/>
        <w:jc w:val="both"/>
        <w:rPr>
          <w:rFonts w:cstheme="minorHAnsi"/>
        </w:rPr>
      </w:pPr>
    </w:p>
    <w:p w14:paraId="505D0678">
      <w:pPr>
        <w:spacing w:after="0" w:line="240" w:lineRule="auto"/>
        <w:ind w:right="-113"/>
        <w:jc w:val="both"/>
        <w:rPr>
          <w:rFonts w:cstheme="minorHAnsi"/>
          <w:b/>
          <w:u w:val="single"/>
        </w:rPr>
      </w:pPr>
      <w:r>
        <w:rPr>
          <w:rFonts w:cstheme="minorHAnsi"/>
          <w:b/>
          <w:u w:val="single"/>
        </w:rPr>
        <w:t xml:space="preserve">Opis predmetu zákazky: </w:t>
      </w:r>
    </w:p>
    <w:p w14:paraId="2367CBBE">
      <w:pPr>
        <w:spacing w:after="0" w:line="240" w:lineRule="auto"/>
        <w:ind w:right="-113"/>
        <w:jc w:val="both"/>
        <w:rPr>
          <w:rFonts w:cstheme="minorHAnsi"/>
        </w:rPr>
      </w:pPr>
      <w:r>
        <w:rPr>
          <w:rFonts w:cstheme="minorHAnsi"/>
          <w:b/>
          <w:bCs/>
        </w:rPr>
        <w:t>Zákazka pozostáva zo stavebných prác v rozsahu zateplenia strechy vrátane rekonštrukcie bleskozvodu, z výmeny vonkajších otvorových konštrukcií a z výmeny interiérového osvetlenia na budove praktického vyučovania Mladosť Strednej odbornej školy obchodu a služieb v Rimavskej Sobote, ulica Železničná 703/8,  979 01 Rimavská Sobota, katastrálne územie Rimavská Sobota. Stavba sa nachádza na parcele KN-C č. 1064, evidovaná na liste vlastníctva č. 5218.</w:t>
      </w:r>
      <w:r>
        <w:rPr>
          <w:rFonts w:cstheme="minorHAnsi"/>
        </w:rPr>
        <w:t xml:space="preserve"> Objednávateľ je správcom nehnuteľnosti, v ktorej, resp. na ktorej bude zhotoviteľ realizovať dielo špecifikované v zmysle Zmluvy. Výlučným vlastníkom nehnuteľnosti je Banskobystrický samosprávny kraj so sídlom Námestie SNP 23, 974 01 Banská Bystrica, IČO: 37828100, ktorý je zriaďovateľom objednávateľa.</w:t>
      </w:r>
    </w:p>
    <w:p w14:paraId="1997FCF0">
      <w:pPr>
        <w:spacing w:after="0" w:line="240" w:lineRule="auto"/>
        <w:ind w:right="-113"/>
        <w:jc w:val="both"/>
        <w:rPr>
          <w:rFonts w:cstheme="minorHAnsi"/>
        </w:rPr>
      </w:pPr>
    </w:p>
    <w:p w14:paraId="70DA6085">
      <w:pPr>
        <w:spacing w:after="0" w:line="240" w:lineRule="auto"/>
        <w:ind w:right="-113"/>
        <w:jc w:val="both"/>
        <w:rPr>
          <w:rFonts w:cstheme="minorHAnsi"/>
        </w:rPr>
      </w:pPr>
      <w:r>
        <w:rPr>
          <w:rFonts w:cstheme="minorHAnsi"/>
        </w:rPr>
        <w:t xml:space="preserve">Budova “Mladosť“ je štvorpodlažná budova s jedným podzemným podlažím. Pôdorysný tvar stavby je obdĺžnik. Konštrukčný systém budovy je montovaný skelet. Budova je železobetónový trojtrakt opláštená s pórobetónovými stenovými panelmi. Strecha je plochá.  </w:t>
      </w:r>
    </w:p>
    <w:p w14:paraId="4BE92B46">
      <w:pPr>
        <w:spacing w:after="0" w:line="240" w:lineRule="auto"/>
        <w:ind w:right="-113"/>
        <w:jc w:val="both"/>
        <w:rPr>
          <w:rFonts w:cstheme="minorHAnsi"/>
        </w:rPr>
      </w:pPr>
      <w:r>
        <w:rPr>
          <w:rFonts w:cstheme="minorHAnsi"/>
        </w:rPr>
        <w:t>Na prízemí  budovy sa nachádza reštaurácia ktorá slúži na praktický výcvik žiakov školy. Druhé podlažie je zariadené pre odborný výcvik žiakov v odbore kuchár-čašník a kaderník. Tretie podlažie slúži na administratívu. Posledné podlažie je voľné, navrhnuté sú učebne na praktický výcvik odboru murár, tesár a klampiar. Každé podlažie má samostatné hygienické zariadenie delené podľa pohlavia.</w:t>
      </w:r>
    </w:p>
    <w:p w14:paraId="1D34D6F7">
      <w:pPr>
        <w:spacing w:after="0" w:line="240" w:lineRule="auto"/>
        <w:ind w:right="-113"/>
        <w:jc w:val="both"/>
        <w:rPr>
          <w:rFonts w:cstheme="minorHAnsi"/>
        </w:rPr>
      </w:pPr>
      <w:r>
        <w:rPr>
          <w:rFonts w:cstheme="minorHAnsi"/>
        </w:rPr>
        <w:t xml:space="preserve">Prívod vody je po existujúcej vodovodnej prípojke z verejného vodovodu. Odvedenie splaškov je do mestskej kanalizácie. Z hľadiska ochrany prírody a životného prostredia sa pri projektovaní zohľadnili požiadavky vyplývajúce zo stanovísk dotknutých orgánov štátnej správy, správcov rozvodných sietí a účastníkov územného konania. Umiestnenie stavby zodpovedá hľadiskám starostlivosti o životné prostredie. Vjazd do priestoru  budovy je existujúci. </w:t>
      </w:r>
    </w:p>
    <w:p w14:paraId="0F27864B">
      <w:pPr>
        <w:spacing w:after="0" w:line="240" w:lineRule="auto"/>
        <w:ind w:right="-113"/>
        <w:jc w:val="both"/>
        <w:rPr>
          <w:rFonts w:cstheme="minorHAnsi"/>
        </w:rPr>
      </w:pPr>
    </w:p>
    <w:p w14:paraId="7A57A670">
      <w:pPr>
        <w:spacing w:after="0" w:line="240" w:lineRule="auto"/>
        <w:ind w:right="-113"/>
        <w:jc w:val="both"/>
        <w:rPr>
          <w:rFonts w:cstheme="minorHAnsi"/>
        </w:rPr>
      </w:pPr>
      <w:r>
        <w:rPr>
          <w:rFonts w:cstheme="minorHAnsi"/>
        </w:rPr>
        <w:t>Pri realizácii stavebných prác na predmetnej stavbe vznikne odpad charakterizovaný v zmysle vyhlášky 284 MŽP SR z 11.06.2001 zatriedením podľa katalógu odpadov nasledovne:</w:t>
      </w:r>
    </w:p>
    <w:p w14:paraId="0F990390">
      <w:pPr>
        <w:spacing w:after="0" w:line="240" w:lineRule="auto"/>
        <w:ind w:right="-113"/>
        <w:jc w:val="both"/>
        <w:rPr>
          <w:rFonts w:cstheme="minorHAnsi"/>
        </w:rPr>
      </w:pPr>
      <w:r>
        <w:rPr>
          <w:rFonts w:cstheme="minorHAnsi"/>
        </w:rPr>
        <w:t>150102 – obaly z plastov</w:t>
      </w:r>
      <w:r>
        <w:rPr>
          <w:rFonts w:cstheme="minorHAnsi"/>
        </w:rPr>
        <w:tab/>
      </w:r>
      <w:r>
        <w:rPr>
          <w:rFonts w:cstheme="minorHAnsi"/>
        </w:rPr>
        <w:tab/>
      </w:r>
      <w:r>
        <w:rPr>
          <w:rFonts w:cstheme="minorHAnsi"/>
        </w:rPr>
        <w:tab/>
      </w:r>
      <w:r>
        <w:rPr>
          <w:rFonts w:cstheme="minorHAnsi"/>
        </w:rPr>
        <w:t>O-MSZKO</w:t>
      </w:r>
    </w:p>
    <w:p w14:paraId="7C2A5BF0">
      <w:pPr>
        <w:spacing w:after="0" w:line="240" w:lineRule="auto"/>
        <w:ind w:right="-113"/>
        <w:jc w:val="both"/>
        <w:rPr>
          <w:rFonts w:cstheme="minorHAnsi"/>
        </w:rPr>
      </w:pPr>
      <w:r>
        <w:rPr>
          <w:rFonts w:cstheme="minorHAnsi"/>
        </w:rPr>
        <w:t>170107 – zmesi betónu, tehál, keramiky</w:t>
      </w:r>
      <w:r>
        <w:rPr>
          <w:rFonts w:cstheme="minorHAnsi"/>
        </w:rPr>
        <w:tab/>
      </w:r>
      <w:r>
        <w:rPr>
          <w:rFonts w:cstheme="minorHAnsi"/>
        </w:rPr>
        <w:t>O-ZSS</w:t>
      </w:r>
    </w:p>
    <w:p w14:paraId="001601F9">
      <w:pPr>
        <w:spacing w:after="0" w:line="240" w:lineRule="auto"/>
        <w:ind w:right="-113"/>
        <w:jc w:val="both"/>
        <w:rPr>
          <w:rFonts w:cstheme="minorHAnsi"/>
        </w:rPr>
      </w:pPr>
      <w:r>
        <w:rPr>
          <w:rFonts w:cstheme="minorHAnsi"/>
        </w:rPr>
        <w:t>170201 – drevo</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O-DP</w:t>
      </w:r>
    </w:p>
    <w:p w14:paraId="675663A1">
      <w:pPr>
        <w:spacing w:after="0" w:line="240" w:lineRule="auto"/>
        <w:ind w:right="-113"/>
        <w:jc w:val="both"/>
        <w:rPr>
          <w:rFonts w:cstheme="minorHAnsi"/>
        </w:rPr>
      </w:pPr>
      <w:r>
        <w:rPr>
          <w:rFonts w:cstheme="minorHAnsi"/>
        </w:rPr>
        <w:t>170202 – sklo</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O-MSZKO</w:t>
      </w:r>
    </w:p>
    <w:p w14:paraId="7838FDD7">
      <w:pPr>
        <w:spacing w:after="0" w:line="240" w:lineRule="auto"/>
        <w:ind w:right="-113"/>
        <w:jc w:val="both"/>
        <w:rPr>
          <w:rFonts w:cstheme="minorHAnsi"/>
        </w:rPr>
      </w:pPr>
      <w:r>
        <w:rPr>
          <w:rFonts w:cstheme="minorHAnsi"/>
        </w:rPr>
        <w:t>170405 – železo, oceľ</w:t>
      </w:r>
      <w:r>
        <w:rPr>
          <w:rFonts w:cstheme="minorHAnsi"/>
        </w:rPr>
        <w:tab/>
      </w:r>
      <w:r>
        <w:rPr>
          <w:rFonts w:cstheme="minorHAnsi"/>
        </w:rPr>
        <w:tab/>
      </w:r>
      <w:r>
        <w:rPr>
          <w:rFonts w:cstheme="minorHAnsi"/>
        </w:rPr>
        <w:tab/>
      </w:r>
      <w:r>
        <w:rPr>
          <w:rFonts w:cstheme="minorHAnsi"/>
        </w:rPr>
        <w:tab/>
      </w:r>
      <w:r>
        <w:rPr>
          <w:rFonts w:cstheme="minorHAnsi"/>
        </w:rPr>
        <w:t>O-ZS</w:t>
      </w:r>
    </w:p>
    <w:p w14:paraId="3D6F0D3A">
      <w:pPr>
        <w:spacing w:after="0" w:line="240" w:lineRule="auto"/>
        <w:ind w:right="-113"/>
        <w:jc w:val="both"/>
        <w:rPr>
          <w:rFonts w:cstheme="minorHAnsi"/>
        </w:rPr>
      </w:pPr>
      <w:r>
        <w:rPr>
          <w:rFonts w:cstheme="minorHAnsi"/>
        </w:rPr>
        <w:t>170302 – asfaltované výrobky, hydroizolácie</w:t>
      </w:r>
      <w:r>
        <w:rPr>
          <w:rFonts w:cstheme="minorHAnsi"/>
        </w:rPr>
        <w:tab/>
      </w:r>
      <w:r>
        <w:rPr>
          <w:rFonts w:cstheme="minorHAnsi"/>
        </w:rPr>
        <w:t>O-ZSS</w:t>
      </w:r>
    </w:p>
    <w:p w14:paraId="685B481A">
      <w:pPr>
        <w:spacing w:after="0" w:line="240" w:lineRule="auto"/>
        <w:ind w:right="-113"/>
        <w:jc w:val="both"/>
        <w:rPr>
          <w:rFonts w:cstheme="minorHAnsi"/>
        </w:rPr>
      </w:pPr>
    </w:p>
    <w:p w14:paraId="7DDE0DB0">
      <w:pPr>
        <w:spacing w:after="0" w:line="240" w:lineRule="auto"/>
        <w:ind w:right="-113"/>
        <w:jc w:val="both"/>
        <w:rPr>
          <w:rFonts w:cstheme="minorHAnsi"/>
        </w:rPr>
      </w:pPr>
      <w:r>
        <w:rPr>
          <w:rFonts w:cstheme="minorHAnsi"/>
        </w:rPr>
        <w:t>Legenda</w:t>
      </w:r>
    </w:p>
    <w:p w14:paraId="4AC02281">
      <w:pPr>
        <w:spacing w:after="0" w:line="240" w:lineRule="auto"/>
        <w:ind w:right="-113"/>
        <w:jc w:val="both"/>
        <w:rPr>
          <w:rFonts w:cstheme="minorHAnsi"/>
        </w:rPr>
      </w:pPr>
      <w:r>
        <w:rPr>
          <w:rFonts w:cstheme="minorHAnsi"/>
        </w:rPr>
        <w:t xml:space="preserve">O - ostatné odpady    </w:t>
      </w:r>
    </w:p>
    <w:p w14:paraId="47F89B96">
      <w:pPr>
        <w:spacing w:after="0" w:line="240" w:lineRule="auto"/>
        <w:ind w:right="-113"/>
        <w:jc w:val="both"/>
        <w:rPr>
          <w:rFonts w:cstheme="minorHAnsi"/>
        </w:rPr>
      </w:pPr>
      <w:r>
        <w:rPr>
          <w:rFonts w:cstheme="minorHAnsi"/>
        </w:rPr>
        <w:t>DP – druhotné použitie</w:t>
      </w:r>
    </w:p>
    <w:p w14:paraId="27759279">
      <w:pPr>
        <w:spacing w:after="0" w:line="240" w:lineRule="auto"/>
        <w:ind w:right="-113"/>
        <w:jc w:val="both"/>
        <w:rPr>
          <w:rFonts w:cstheme="minorHAnsi"/>
        </w:rPr>
      </w:pPr>
      <w:r>
        <w:rPr>
          <w:rFonts w:cstheme="minorHAnsi"/>
        </w:rPr>
        <w:t>MSZKO – mestský zber komunálneho odpadu</w:t>
      </w:r>
    </w:p>
    <w:p w14:paraId="648102A6">
      <w:pPr>
        <w:spacing w:after="0" w:line="240" w:lineRule="auto"/>
        <w:ind w:right="-113"/>
        <w:jc w:val="both"/>
        <w:rPr>
          <w:rFonts w:cstheme="minorHAnsi"/>
        </w:rPr>
      </w:pPr>
      <w:r>
        <w:rPr>
          <w:rFonts w:cstheme="minorHAnsi"/>
        </w:rPr>
        <w:t>ZS – zberné suroviny</w:t>
      </w:r>
    </w:p>
    <w:p w14:paraId="54E46712">
      <w:pPr>
        <w:spacing w:after="0" w:line="240" w:lineRule="auto"/>
        <w:ind w:right="-113"/>
        <w:jc w:val="both"/>
        <w:rPr>
          <w:rFonts w:cstheme="minorHAnsi"/>
        </w:rPr>
      </w:pPr>
      <w:r>
        <w:rPr>
          <w:rFonts w:cstheme="minorHAnsi"/>
        </w:rPr>
        <w:t>ZSS – zber stavebných sutí na skládku TKO v Lučenci.</w:t>
      </w:r>
    </w:p>
    <w:p w14:paraId="2F1404CC">
      <w:pPr>
        <w:spacing w:after="0" w:line="240" w:lineRule="auto"/>
        <w:ind w:right="-113"/>
        <w:jc w:val="both"/>
        <w:rPr>
          <w:rFonts w:cstheme="minorHAnsi"/>
        </w:rPr>
      </w:pPr>
    </w:p>
    <w:p w14:paraId="649F1405">
      <w:pPr>
        <w:spacing w:after="0" w:line="240" w:lineRule="auto"/>
        <w:ind w:right="-113"/>
        <w:jc w:val="both"/>
        <w:rPr>
          <w:rFonts w:cstheme="minorHAnsi"/>
          <w:u w:val="single"/>
        </w:rPr>
      </w:pPr>
      <w:r>
        <w:rPr>
          <w:rFonts w:cstheme="minorHAnsi"/>
          <w:u w:val="single"/>
        </w:rPr>
        <w:t>Zateplenie strechy</w:t>
      </w:r>
    </w:p>
    <w:p w14:paraId="6AC24107">
      <w:pPr>
        <w:spacing w:after="0" w:line="240" w:lineRule="auto"/>
        <w:ind w:right="-113"/>
        <w:jc w:val="both"/>
        <w:rPr>
          <w:rFonts w:cstheme="minorHAnsi"/>
        </w:rPr>
      </w:pPr>
      <w:r>
        <w:rPr>
          <w:rFonts w:cstheme="minorHAnsi"/>
        </w:rPr>
        <w:t>Predmetom zateplenia strechy je demontáž jestvujúcej skladby strešného plášťa až na úroveň parozábrany, vysušenie strechy, zhotovenie novej penetračnej vrstvy, zhotovenie novej parozábrany, zhotovenie novej tepelnej izolácie, ktorá bude spĺňať aktuálne normy a legislatívu. Ďalej sú predmetom všetky s tým súvisiace práce, napr. rekonštrukcia a osadenie strešných vpustí, ventilačných hlavíc, rekonštrukcia atiky, montáž nadstrešných konštrukcií, demontáž a montáž oplechovania, rekonštrukcia bleskozvodu so súvisiacimi revíziami.</w:t>
      </w:r>
    </w:p>
    <w:p w14:paraId="5E29EFE9">
      <w:pPr>
        <w:spacing w:after="0" w:line="240" w:lineRule="auto"/>
        <w:ind w:right="-113"/>
        <w:jc w:val="both"/>
        <w:rPr>
          <w:rFonts w:cstheme="minorHAnsi"/>
        </w:rPr>
      </w:pPr>
    </w:p>
    <w:p w14:paraId="39458E79">
      <w:pPr>
        <w:spacing w:after="0" w:line="240" w:lineRule="auto"/>
        <w:ind w:right="-113"/>
        <w:jc w:val="both"/>
        <w:rPr>
          <w:rFonts w:cstheme="minorHAnsi"/>
        </w:rPr>
      </w:pPr>
      <w:r>
        <w:rPr>
          <w:rFonts w:cstheme="minorHAnsi"/>
        </w:rPr>
        <w:t>Predpokladaná skladba pôvodnej strešnej konštrukcie je nasledovná, avšak je nutné overiť:</w:t>
      </w:r>
    </w:p>
    <w:p w14:paraId="3C778522">
      <w:pPr>
        <w:spacing w:after="0" w:line="240" w:lineRule="auto"/>
        <w:ind w:right="-113"/>
        <w:jc w:val="both"/>
        <w:rPr>
          <w:rFonts w:cstheme="minorHAnsi"/>
        </w:rPr>
      </w:pPr>
      <w:r>
        <w:rPr>
          <w:rFonts w:cstheme="minorHAnsi"/>
        </w:rPr>
        <w:t>Strešná izolačná fólia kotvená mechanicky do konštrukcie</w:t>
      </w:r>
    </w:p>
    <w:p w14:paraId="503B46A3">
      <w:pPr>
        <w:spacing w:after="0" w:line="240" w:lineRule="auto"/>
        <w:ind w:right="-113"/>
        <w:jc w:val="both"/>
        <w:rPr>
          <w:rFonts w:cstheme="minorHAnsi"/>
        </w:rPr>
      </w:pPr>
      <w:r>
        <w:rPr>
          <w:rFonts w:cstheme="minorHAnsi"/>
        </w:rPr>
        <w:t>Geotextília</w:t>
      </w:r>
    </w:p>
    <w:p w14:paraId="13F92489">
      <w:pPr>
        <w:spacing w:after="0" w:line="240" w:lineRule="auto"/>
        <w:ind w:right="-113"/>
        <w:jc w:val="both"/>
        <w:rPr>
          <w:rFonts w:cstheme="minorHAnsi"/>
        </w:rPr>
      </w:pPr>
      <w:r>
        <w:rPr>
          <w:rFonts w:cstheme="minorHAnsi"/>
        </w:rPr>
        <w:t>Strešná tepelná izolácia hr.100+150 mm</w:t>
      </w:r>
    </w:p>
    <w:p w14:paraId="11024660">
      <w:pPr>
        <w:spacing w:after="0" w:line="240" w:lineRule="auto"/>
        <w:ind w:right="-113"/>
        <w:jc w:val="both"/>
        <w:rPr>
          <w:rFonts w:cstheme="minorHAnsi"/>
        </w:rPr>
      </w:pPr>
    </w:p>
    <w:p w14:paraId="6DDDAD76">
      <w:pPr>
        <w:spacing w:after="0" w:line="240" w:lineRule="auto"/>
        <w:ind w:right="-113"/>
        <w:jc w:val="both"/>
        <w:rPr>
          <w:rFonts w:cstheme="minorHAnsi"/>
        </w:rPr>
      </w:pPr>
      <w:r>
        <w:rPr>
          <w:rFonts w:cstheme="minorHAnsi"/>
        </w:rPr>
        <w:t xml:space="preserve">Tvar strechy ostáva pôvodný, plochá strecha bude zateplená a izolovaná strešnou izolačnou fóliou. </w:t>
      </w:r>
    </w:p>
    <w:p w14:paraId="4CDC4913">
      <w:pPr>
        <w:spacing w:after="0" w:line="240" w:lineRule="auto"/>
        <w:ind w:right="-113"/>
        <w:jc w:val="both"/>
        <w:rPr>
          <w:rFonts w:cstheme="minorHAnsi"/>
        </w:rPr>
      </w:pPr>
      <w:r>
        <w:rPr>
          <w:rFonts w:cstheme="minorHAnsi"/>
        </w:rPr>
        <w:t>Navrhovaná skladba izolácie strechy:</w:t>
      </w:r>
    </w:p>
    <w:p w14:paraId="4C6A2748">
      <w:pPr>
        <w:spacing w:after="0" w:line="240" w:lineRule="auto"/>
        <w:ind w:right="-113"/>
        <w:jc w:val="both"/>
        <w:rPr>
          <w:rFonts w:cstheme="minorHAnsi"/>
        </w:rPr>
      </w:pPr>
      <w:r>
        <w:rPr>
          <w:rFonts w:cstheme="minorHAnsi"/>
        </w:rPr>
        <w:t>Zhotovenie povlakovej krytiny striech plochých do 10° PVC-P fóliou upevnenou prikotvením so zvarením spoju</w:t>
      </w:r>
    </w:p>
    <w:p w14:paraId="1F71DAE9">
      <w:pPr>
        <w:spacing w:after="0" w:line="240" w:lineRule="auto"/>
        <w:ind w:right="-113"/>
        <w:jc w:val="both"/>
        <w:rPr>
          <w:rFonts w:cstheme="minorHAnsi"/>
        </w:rPr>
      </w:pPr>
      <w:r>
        <w:rPr>
          <w:rFonts w:cstheme="minorHAnsi"/>
        </w:rPr>
        <w:t>Hydroizolačná fólia PVC-P hr. 2,0 mm izolácia plochých striech</w:t>
      </w:r>
    </w:p>
    <w:p w14:paraId="6DE7E9BE">
      <w:pPr>
        <w:spacing w:after="0" w:line="240" w:lineRule="auto"/>
        <w:ind w:right="-113"/>
        <w:jc w:val="both"/>
        <w:rPr>
          <w:rFonts w:cstheme="minorHAnsi"/>
        </w:rPr>
      </w:pPr>
      <w:r>
        <w:rPr>
          <w:rFonts w:cstheme="minorHAnsi"/>
        </w:rPr>
        <w:t>Geotextília polypropylénová netkaná 400 g/m2</w:t>
      </w:r>
    </w:p>
    <w:p w14:paraId="74FF1AB4">
      <w:pPr>
        <w:spacing w:after="0" w:line="240" w:lineRule="auto"/>
        <w:ind w:right="-113"/>
        <w:jc w:val="both"/>
        <w:rPr>
          <w:rFonts w:cstheme="minorHAnsi"/>
        </w:rPr>
      </w:pPr>
      <w:r>
        <w:rPr>
          <w:rFonts w:cstheme="minorHAnsi"/>
        </w:rPr>
        <w:t>Doska z minerálnej vlny hr. 250 mm, izolácia pre zateplenie plochých striech</w:t>
      </w:r>
    </w:p>
    <w:p w14:paraId="79B04ED1">
      <w:pPr>
        <w:spacing w:after="0" w:line="240" w:lineRule="auto"/>
        <w:ind w:right="-113"/>
        <w:jc w:val="both"/>
        <w:rPr>
          <w:rFonts w:cstheme="minorHAnsi"/>
        </w:rPr>
      </w:pPr>
      <w:r>
        <w:rPr>
          <w:rFonts w:cstheme="minorHAnsi"/>
        </w:rPr>
        <w:t>Montáž tepelnej izolácie striech plochých do 10° minerálnou vlnou, dvojvrstvová kladená voľne</w:t>
      </w:r>
    </w:p>
    <w:p w14:paraId="47FA00D1">
      <w:pPr>
        <w:spacing w:after="0" w:line="240" w:lineRule="auto"/>
        <w:ind w:right="-113"/>
        <w:jc w:val="both"/>
        <w:rPr>
          <w:rFonts w:cstheme="minorHAnsi"/>
        </w:rPr>
      </w:pPr>
      <w:r>
        <w:rPr>
          <w:rFonts w:cstheme="minorHAnsi"/>
        </w:rPr>
        <w:t>Klampiarske konštrukcie</w:t>
      </w:r>
    </w:p>
    <w:p w14:paraId="3C896432">
      <w:pPr>
        <w:spacing w:after="0" w:line="240" w:lineRule="auto"/>
        <w:ind w:right="-113"/>
        <w:jc w:val="both"/>
        <w:rPr>
          <w:rFonts w:cstheme="minorHAnsi"/>
        </w:rPr>
      </w:pPr>
      <w:r>
        <w:rPr>
          <w:rFonts w:cstheme="minorHAnsi"/>
        </w:rPr>
        <w:t>Súčasťou prác je rekonštrukcia bleskozvodu.</w:t>
      </w:r>
    </w:p>
    <w:p w14:paraId="78ED3CE2">
      <w:pPr>
        <w:spacing w:after="0" w:line="240" w:lineRule="auto"/>
        <w:ind w:right="-113"/>
        <w:jc w:val="both"/>
        <w:rPr>
          <w:rFonts w:cstheme="minorHAnsi"/>
        </w:rPr>
      </w:pPr>
    </w:p>
    <w:p w14:paraId="19CBD6D4">
      <w:pPr>
        <w:spacing w:after="0" w:line="240" w:lineRule="auto"/>
        <w:ind w:right="-113"/>
        <w:jc w:val="both"/>
        <w:rPr>
          <w:rFonts w:cstheme="minorHAnsi"/>
        </w:rPr>
      </w:pPr>
    </w:p>
    <w:p w14:paraId="7BAD569D">
      <w:pPr>
        <w:spacing w:after="0" w:line="240" w:lineRule="auto"/>
        <w:ind w:right="-113"/>
        <w:jc w:val="both"/>
        <w:rPr>
          <w:rFonts w:cstheme="minorHAnsi"/>
          <w:u w:val="single"/>
        </w:rPr>
      </w:pPr>
      <w:r>
        <w:rPr>
          <w:rFonts w:cstheme="minorHAnsi"/>
          <w:u w:val="single"/>
        </w:rPr>
        <w:t>Výmena vonkajších otvorových konštrukcií</w:t>
      </w:r>
    </w:p>
    <w:p w14:paraId="45E44537">
      <w:pPr>
        <w:spacing w:after="0" w:line="240" w:lineRule="auto"/>
        <w:ind w:right="-113"/>
        <w:jc w:val="both"/>
        <w:rPr>
          <w:rFonts w:cstheme="minorHAnsi"/>
        </w:rPr>
      </w:pPr>
      <w:r>
        <w:rPr>
          <w:rFonts w:cstheme="minorHAnsi"/>
        </w:rPr>
        <w:t xml:space="preserve">Predmetom výmeny vonkajších otvorových konštrukcií sú výplne otvorov, ktoré sú navrhnuté plastové šesťkomorové. Zasklievanie previesť s izolačným trojsklom. </w:t>
      </w:r>
    </w:p>
    <w:p w14:paraId="697F3EFA">
      <w:pPr>
        <w:spacing w:after="0" w:line="240" w:lineRule="auto"/>
        <w:ind w:right="-113"/>
        <w:jc w:val="both"/>
        <w:rPr>
          <w:rFonts w:cstheme="minorHAnsi"/>
        </w:rPr>
      </w:pPr>
      <w:r>
        <w:rPr>
          <w:rFonts w:cstheme="minorHAnsi"/>
        </w:rPr>
        <w:t>Spôsob osadenia okien je pred omietkami s tým, že kotvenie sa prevedie pomocou vrutov po obvode z exteriéru sa vtlačí gumové tesnenie s dekompresiou 0,9 priemeru 20 mm, vyplní sa povrazcom a spoje z obidvoch strán sa vyplnia polyuretánovou penou. Vonkajšie dvere sú navrhnuté atypické plastové.</w:t>
      </w:r>
    </w:p>
    <w:p w14:paraId="6D78F7F2">
      <w:pPr>
        <w:spacing w:after="0" w:line="240" w:lineRule="auto"/>
        <w:ind w:right="-113"/>
        <w:jc w:val="both"/>
        <w:rPr>
          <w:rFonts w:cstheme="minorHAnsi"/>
        </w:rPr>
      </w:pPr>
      <w:r>
        <w:rPr>
          <w:rFonts w:cstheme="minorHAnsi"/>
          <w:b/>
          <w:bCs/>
        </w:rPr>
        <w:t>Nové otvorové konštrukcie musia spĺňať požiadavku STN 730540-2/Z1+Z2</w:t>
      </w:r>
      <w:r>
        <w:rPr>
          <w:rFonts w:cstheme="minorHAnsi"/>
        </w:rPr>
        <w:t>.</w:t>
      </w:r>
    </w:p>
    <w:p w14:paraId="58C7F52B">
      <w:pPr>
        <w:spacing w:after="0" w:line="240" w:lineRule="auto"/>
        <w:ind w:right="-113"/>
        <w:jc w:val="both"/>
        <w:rPr>
          <w:rFonts w:cstheme="minorHAnsi"/>
        </w:rPr>
      </w:pPr>
    </w:p>
    <w:p w14:paraId="5B2CFE4E">
      <w:pPr>
        <w:spacing w:after="0" w:line="240" w:lineRule="auto"/>
        <w:ind w:right="-113"/>
        <w:jc w:val="both"/>
        <w:rPr>
          <w:rFonts w:cstheme="minorHAnsi"/>
        </w:rPr>
      </w:pPr>
    </w:p>
    <w:p w14:paraId="688C71EC">
      <w:pPr>
        <w:spacing w:after="0" w:line="240" w:lineRule="auto"/>
        <w:ind w:right="-113"/>
        <w:jc w:val="both"/>
        <w:rPr>
          <w:rFonts w:cstheme="minorHAnsi"/>
          <w:u w:val="single"/>
        </w:rPr>
      </w:pPr>
      <w:r>
        <w:rPr>
          <w:rFonts w:cstheme="minorHAnsi"/>
          <w:u w:val="single"/>
        </w:rPr>
        <w:t>Výmena osvetlenia</w:t>
      </w:r>
    </w:p>
    <w:p w14:paraId="43E7681F">
      <w:pPr>
        <w:spacing w:after="0" w:line="240" w:lineRule="auto"/>
        <w:ind w:right="-113"/>
        <w:jc w:val="both"/>
        <w:rPr>
          <w:rFonts w:cstheme="minorHAnsi"/>
        </w:rPr>
      </w:pPr>
      <w:r>
        <w:rPr>
          <w:rFonts w:cstheme="minorHAnsi"/>
        </w:rPr>
        <w:t>Predmetom výmeny osvetlenia je montáž a zapojenie interiérových svietidiel spolu nevyhnutnou montážou kabeláže na najvyššom poschodí budovy. Nové svietidlá musia mať LED svetelné zdroje.</w:t>
      </w:r>
    </w:p>
    <w:p w14:paraId="44BA56A7">
      <w:pPr>
        <w:spacing w:after="0" w:line="240" w:lineRule="auto"/>
        <w:ind w:right="-113"/>
        <w:jc w:val="both"/>
        <w:rPr>
          <w:rFonts w:cstheme="minorHAnsi"/>
          <w:b/>
          <w:bCs/>
        </w:rPr>
      </w:pPr>
      <w:r>
        <w:rPr>
          <w:rFonts w:cstheme="minorHAnsi"/>
          <w:b/>
          <w:bCs/>
        </w:rPr>
        <w:t>Nové svietidlá budú mať LED zdroje.</w:t>
      </w:r>
    </w:p>
    <w:p w14:paraId="15AD3546">
      <w:pPr>
        <w:spacing w:after="0" w:line="240" w:lineRule="auto"/>
        <w:ind w:right="-113"/>
        <w:jc w:val="both"/>
        <w:rPr>
          <w:rFonts w:cstheme="minorHAnsi"/>
        </w:rPr>
      </w:pPr>
    </w:p>
    <w:p w14:paraId="000D09FC">
      <w:pPr>
        <w:spacing w:after="0" w:line="240" w:lineRule="auto"/>
        <w:ind w:right="-113"/>
        <w:jc w:val="both"/>
        <w:rPr>
          <w:rFonts w:cstheme="minorHAnsi"/>
        </w:rPr>
      </w:pPr>
      <w:r>
        <w:rPr>
          <w:rFonts w:cstheme="minorHAnsi"/>
        </w:rPr>
        <w:t xml:space="preserve">Prílohy špecifikácie predmetu zákazky: </w:t>
      </w:r>
      <w:r>
        <w:rPr>
          <w:rFonts w:cstheme="minorHAnsi"/>
        </w:rPr>
        <w:tab/>
      </w:r>
      <w:r>
        <w:rPr>
          <w:rFonts w:cstheme="minorHAnsi"/>
        </w:rPr>
        <w:t>Výpis okien a dverí</w:t>
      </w:r>
    </w:p>
    <w:p w14:paraId="0F44B13C">
      <w:pPr>
        <w:spacing w:after="0" w:line="240" w:lineRule="auto"/>
        <w:ind w:right="-113"/>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Pohľady</w:t>
      </w:r>
    </w:p>
    <w:p w14:paraId="5950167A">
      <w:pPr>
        <w:spacing w:after="0" w:line="240" w:lineRule="auto"/>
        <w:ind w:right="-113"/>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Rez</w:t>
      </w:r>
    </w:p>
    <w:p w14:paraId="707B18FB">
      <w:pPr>
        <w:spacing w:after="0" w:line="240" w:lineRule="auto"/>
        <w:ind w:right="-113"/>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Statický posudok</w:t>
      </w:r>
    </w:p>
    <w:p w14:paraId="3D7A5AEE">
      <w:pPr>
        <w:spacing w:after="0" w:line="240" w:lineRule="auto"/>
        <w:ind w:right="-113"/>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Pôdorys strechy</w:t>
      </w:r>
    </w:p>
    <w:p w14:paraId="11A5379D">
      <w:pPr>
        <w:spacing w:after="0" w:line="240" w:lineRule="auto"/>
        <w:ind w:right="-113"/>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Stavebné povolenie</w:t>
      </w:r>
    </w:p>
    <w:p w14:paraId="72E77B9C">
      <w:pPr>
        <w:spacing w:after="0" w:line="240" w:lineRule="auto"/>
        <w:ind w:right="-113"/>
        <w:jc w:val="both"/>
        <w:rPr>
          <w:rFonts w:cstheme="minorHAnsi"/>
        </w:rPr>
      </w:pPr>
    </w:p>
    <w:p w14:paraId="4BBDB782">
      <w:pPr>
        <w:spacing w:after="0" w:line="240" w:lineRule="auto"/>
        <w:ind w:right="-113"/>
        <w:jc w:val="both"/>
        <w:rPr>
          <w:rFonts w:cstheme="minorHAnsi"/>
        </w:rPr>
      </w:pPr>
      <w:bookmarkStart w:id="0" w:name="_GoBack"/>
      <w:bookmarkEnd w:id="0"/>
    </w:p>
    <w:p w14:paraId="55FCF102">
      <w:pPr>
        <w:spacing w:after="0" w:line="240" w:lineRule="auto"/>
        <w:ind w:right="-113"/>
        <w:jc w:val="both"/>
        <w:rPr>
          <w:rFonts w:cstheme="minorHAnsi"/>
        </w:rPr>
      </w:pPr>
      <w:r>
        <w:rPr>
          <w:rFonts w:cstheme="minorHAnsi"/>
        </w:rPr>
        <w:t>Predmetom diela sú všetky súvisiace stavebné práce, revízie, skúšky, zamerania a pod. nevyhnutné k úspešnému ukončeniu diela.</w:t>
      </w:r>
    </w:p>
    <w:p w14:paraId="3817884B">
      <w:pPr>
        <w:spacing w:after="0" w:line="240" w:lineRule="auto"/>
        <w:ind w:right="-113"/>
        <w:jc w:val="both"/>
        <w:rPr>
          <w:rFonts w:cstheme="minorHAnsi"/>
        </w:rPr>
      </w:pPr>
    </w:p>
    <w:sectPr>
      <w:footerReference r:id="rId5" w:type="default"/>
      <w:pgSz w:w="11906" w:h="16838"/>
      <w:pgMar w:top="1134" w:right="1133" w:bottom="993" w:left="993" w:header="708" w:footer="565"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EE"/>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rial">
    <w:panose1 w:val="020B0604020202020204"/>
    <w:charset w:val="EE"/>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3976652"/>
      <w:docPartObj>
        <w:docPartGallery w:val="AutoText"/>
      </w:docPartObj>
    </w:sdtPr>
    <w:sdtContent>
      <w:p w14:paraId="016E1075">
        <w:pPr>
          <w:pStyle w:val="7"/>
          <w:jc w:val="right"/>
        </w:pPr>
        <w:r>
          <w:fldChar w:fldCharType="begin"/>
        </w:r>
        <w:r>
          <w:instrText xml:space="preserve">PAGE   \* MERGEFORMAT</w:instrText>
        </w:r>
        <w:r>
          <w:fldChar w:fldCharType="separate"/>
        </w:r>
        <w:r>
          <w:t>2</w:t>
        </w:r>
        <w:r>
          <w:fldChar w:fldCharType="end"/>
        </w:r>
      </w:p>
    </w:sdtContent>
  </w:sdt>
  <w:p w14:paraId="498AAD7D">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91C"/>
    <w:rsid w:val="0002714E"/>
    <w:rsid w:val="0003791C"/>
    <w:rsid w:val="000466AF"/>
    <w:rsid w:val="0006793C"/>
    <w:rsid w:val="00082F86"/>
    <w:rsid w:val="0008418C"/>
    <w:rsid w:val="000A19F6"/>
    <w:rsid w:val="000B19F9"/>
    <w:rsid w:val="000D4C58"/>
    <w:rsid w:val="000D5A6C"/>
    <w:rsid w:val="001341E0"/>
    <w:rsid w:val="0013429E"/>
    <w:rsid w:val="00156C32"/>
    <w:rsid w:val="00171EBE"/>
    <w:rsid w:val="00195B9C"/>
    <w:rsid w:val="001974D8"/>
    <w:rsid w:val="001A07EB"/>
    <w:rsid w:val="001B1C13"/>
    <w:rsid w:val="001B6950"/>
    <w:rsid w:val="001C676E"/>
    <w:rsid w:val="001E1AFF"/>
    <w:rsid w:val="002107F0"/>
    <w:rsid w:val="0021662F"/>
    <w:rsid w:val="002254C8"/>
    <w:rsid w:val="00243849"/>
    <w:rsid w:val="00263084"/>
    <w:rsid w:val="002935B8"/>
    <w:rsid w:val="002C3CED"/>
    <w:rsid w:val="002D0107"/>
    <w:rsid w:val="002F362A"/>
    <w:rsid w:val="0030524F"/>
    <w:rsid w:val="00340BD2"/>
    <w:rsid w:val="00341DFB"/>
    <w:rsid w:val="00352391"/>
    <w:rsid w:val="003812A0"/>
    <w:rsid w:val="00384BC3"/>
    <w:rsid w:val="00385593"/>
    <w:rsid w:val="00386CBC"/>
    <w:rsid w:val="0039477A"/>
    <w:rsid w:val="0039582D"/>
    <w:rsid w:val="003A5BAF"/>
    <w:rsid w:val="003E0441"/>
    <w:rsid w:val="00401B01"/>
    <w:rsid w:val="00404A59"/>
    <w:rsid w:val="004067A6"/>
    <w:rsid w:val="00416800"/>
    <w:rsid w:val="0047451B"/>
    <w:rsid w:val="00484AD2"/>
    <w:rsid w:val="00485070"/>
    <w:rsid w:val="004C5D6C"/>
    <w:rsid w:val="004C7706"/>
    <w:rsid w:val="004E63CD"/>
    <w:rsid w:val="004E75F4"/>
    <w:rsid w:val="004F2A64"/>
    <w:rsid w:val="00510188"/>
    <w:rsid w:val="005110B1"/>
    <w:rsid w:val="00526528"/>
    <w:rsid w:val="00572E47"/>
    <w:rsid w:val="005A45AD"/>
    <w:rsid w:val="005B30E1"/>
    <w:rsid w:val="005E07BC"/>
    <w:rsid w:val="0061551F"/>
    <w:rsid w:val="006334A8"/>
    <w:rsid w:val="00633CA0"/>
    <w:rsid w:val="00645F11"/>
    <w:rsid w:val="00673D56"/>
    <w:rsid w:val="00683EC7"/>
    <w:rsid w:val="00691B9A"/>
    <w:rsid w:val="00692D4E"/>
    <w:rsid w:val="006939B9"/>
    <w:rsid w:val="006A69CB"/>
    <w:rsid w:val="006B725E"/>
    <w:rsid w:val="006C0781"/>
    <w:rsid w:val="006C6857"/>
    <w:rsid w:val="006E6F05"/>
    <w:rsid w:val="00702BA4"/>
    <w:rsid w:val="007225F1"/>
    <w:rsid w:val="007228BD"/>
    <w:rsid w:val="0075259C"/>
    <w:rsid w:val="00786B00"/>
    <w:rsid w:val="007A4E22"/>
    <w:rsid w:val="007A6C24"/>
    <w:rsid w:val="007C3A26"/>
    <w:rsid w:val="007C7C6C"/>
    <w:rsid w:val="007E15F7"/>
    <w:rsid w:val="007F061C"/>
    <w:rsid w:val="00815112"/>
    <w:rsid w:val="00820BD7"/>
    <w:rsid w:val="008226E2"/>
    <w:rsid w:val="00822861"/>
    <w:rsid w:val="00883B69"/>
    <w:rsid w:val="008944F0"/>
    <w:rsid w:val="008E10A4"/>
    <w:rsid w:val="008E1824"/>
    <w:rsid w:val="008F21CD"/>
    <w:rsid w:val="00975270"/>
    <w:rsid w:val="00980A90"/>
    <w:rsid w:val="009A5134"/>
    <w:rsid w:val="00A0171D"/>
    <w:rsid w:val="00A030F6"/>
    <w:rsid w:val="00A44DCE"/>
    <w:rsid w:val="00A71DD7"/>
    <w:rsid w:val="00A74E4E"/>
    <w:rsid w:val="00A82C96"/>
    <w:rsid w:val="00AA1F1C"/>
    <w:rsid w:val="00AD611C"/>
    <w:rsid w:val="00B41311"/>
    <w:rsid w:val="00B60032"/>
    <w:rsid w:val="00B84D5E"/>
    <w:rsid w:val="00B929E7"/>
    <w:rsid w:val="00B956BD"/>
    <w:rsid w:val="00BA141B"/>
    <w:rsid w:val="00BA5EDB"/>
    <w:rsid w:val="00BB3BC4"/>
    <w:rsid w:val="00C1128C"/>
    <w:rsid w:val="00C16579"/>
    <w:rsid w:val="00C278E1"/>
    <w:rsid w:val="00C60412"/>
    <w:rsid w:val="00C7364D"/>
    <w:rsid w:val="00C95546"/>
    <w:rsid w:val="00CA16B2"/>
    <w:rsid w:val="00CA5804"/>
    <w:rsid w:val="00CD005A"/>
    <w:rsid w:val="00CD75B0"/>
    <w:rsid w:val="00CF18FF"/>
    <w:rsid w:val="00D10D13"/>
    <w:rsid w:val="00D2176A"/>
    <w:rsid w:val="00D342B6"/>
    <w:rsid w:val="00D35442"/>
    <w:rsid w:val="00D40A9C"/>
    <w:rsid w:val="00D52317"/>
    <w:rsid w:val="00D70F86"/>
    <w:rsid w:val="00DA5E2B"/>
    <w:rsid w:val="00DD3036"/>
    <w:rsid w:val="00DE2592"/>
    <w:rsid w:val="00DE478A"/>
    <w:rsid w:val="00DF5260"/>
    <w:rsid w:val="00E0477E"/>
    <w:rsid w:val="00E16AD0"/>
    <w:rsid w:val="00E261CA"/>
    <w:rsid w:val="00E26F63"/>
    <w:rsid w:val="00E74F55"/>
    <w:rsid w:val="00EB3DE5"/>
    <w:rsid w:val="00ED7494"/>
    <w:rsid w:val="00EE42DA"/>
    <w:rsid w:val="00EE7940"/>
    <w:rsid w:val="00F42720"/>
    <w:rsid w:val="00F64A78"/>
    <w:rsid w:val="00F82DE7"/>
    <w:rsid w:val="00FA47A3"/>
    <w:rsid w:val="00FD1B1E"/>
    <w:rsid w:val="00FD4FF3"/>
    <w:rsid w:val="00FD6A0C"/>
    <w:rsid w:val="00FF0989"/>
    <w:rsid w:val="00FF31C2"/>
    <w:rsid w:val="2A7A057C"/>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sk-SK"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annotation reference"/>
    <w:basedOn w:val="2"/>
    <w:semiHidden/>
    <w:unhideWhenUsed/>
    <w:uiPriority w:val="99"/>
    <w:rPr>
      <w:sz w:val="16"/>
      <w:szCs w:val="16"/>
    </w:rPr>
  </w:style>
  <w:style w:type="paragraph" w:styleId="5">
    <w:name w:val="annotation text"/>
    <w:basedOn w:val="1"/>
    <w:link w:val="10"/>
    <w:semiHidden/>
    <w:unhideWhenUsed/>
    <w:uiPriority w:val="99"/>
    <w:pPr>
      <w:spacing w:line="240" w:lineRule="auto"/>
    </w:pPr>
    <w:rPr>
      <w:sz w:val="20"/>
      <w:szCs w:val="20"/>
    </w:rPr>
  </w:style>
  <w:style w:type="paragraph" w:styleId="6">
    <w:name w:val="annotation subject"/>
    <w:basedOn w:val="5"/>
    <w:next w:val="5"/>
    <w:link w:val="11"/>
    <w:semiHidden/>
    <w:unhideWhenUsed/>
    <w:uiPriority w:val="99"/>
    <w:rPr>
      <w:b/>
      <w:bCs/>
    </w:rPr>
  </w:style>
  <w:style w:type="paragraph" w:styleId="7">
    <w:name w:val="footer"/>
    <w:basedOn w:val="1"/>
    <w:link w:val="14"/>
    <w:unhideWhenUsed/>
    <w:uiPriority w:val="99"/>
    <w:pPr>
      <w:tabs>
        <w:tab w:val="center" w:pos="4536"/>
        <w:tab w:val="right" w:pos="9072"/>
      </w:tabs>
      <w:spacing w:after="0" w:line="240" w:lineRule="auto"/>
    </w:pPr>
  </w:style>
  <w:style w:type="paragraph" w:styleId="8">
    <w:name w:val="header"/>
    <w:basedOn w:val="1"/>
    <w:link w:val="13"/>
    <w:unhideWhenUsed/>
    <w:uiPriority w:val="99"/>
    <w:pPr>
      <w:tabs>
        <w:tab w:val="center" w:pos="4536"/>
        <w:tab w:val="right" w:pos="9072"/>
      </w:tabs>
      <w:spacing w:after="0" w:line="240" w:lineRule="auto"/>
    </w:pPr>
  </w:style>
  <w:style w:type="paragraph" w:styleId="9">
    <w:name w:val="List Paragraph"/>
    <w:basedOn w:val="1"/>
    <w:qFormat/>
    <w:uiPriority w:val="34"/>
    <w:pPr>
      <w:ind w:left="720"/>
      <w:contextualSpacing/>
    </w:pPr>
  </w:style>
  <w:style w:type="character" w:customStyle="1" w:styleId="10">
    <w:name w:val="Text komentára Char"/>
    <w:basedOn w:val="2"/>
    <w:link w:val="5"/>
    <w:semiHidden/>
    <w:uiPriority w:val="99"/>
    <w:rPr>
      <w:sz w:val="20"/>
      <w:szCs w:val="20"/>
    </w:rPr>
  </w:style>
  <w:style w:type="character" w:customStyle="1" w:styleId="11">
    <w:name w:val="Predmet komentára Char"/>
    <w:basedOn w:val="10"/>
    <w:link w:val="6"/>
    <w:semiHidden/>
    <w:uiPriority w:val="99"/>
    <w:rPr>
      <w:b/>
      <w:bCs/>
      <w:sz w:val="20"/>
      <w:szCs w:val="20"/>
    </w:rPr>
  </w:style>
  <w:style w:type="paragraph" w:customStyle="1" w:styleId="12">
    <w:name w:val="Default"/>
    <w:uiPriority w:val="0"/>
    <w:pPr>
      <w:autoSpaceDE w:val="0"/>
      <w:autoSpaceDN w:val="0"/>
      <w:adjustRightInd w:val="0"/>
      <w:spacing w:after="0" w:line="240" w:lineRule="auto"/>
    </w:pPr>
    <w:rPr>
      <w:rFonts w:ascii="Arial" w:hAnsi="Arial" w:cs="Arial" w:eastAsiaTheme="minorHAnsi"/>
      <w:color w:val="000000"/>
      <w:sz w:val="24"/>
      <w:szCs w:val="24"/>
      <w:lang w:val="sk-SK" w:eastAsia="en-US" w:bidi="ar-SA"/>
    </w:rPr>
  </w:style>
  <w:style w:type="character" w:customStyle="1" w:styleId="13">
    <w:name w:val="Hlavička Char"/>
    <w:basedOn w:val="2"/>
    <w:link w:val="8"/>
    <w:uiPriority w:val="99"/>
  </w:style>
  <w:style w:type="character" w:customStyle="1" w:styleId="14">
    <w:name w:val="Päta Char"/>
    <w:basedOn w:val="2"/>
    <w:link w:val="7"/>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4.xml"/><Relationship Id="rId1"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b87e5ee6e1d81dca6c635d1ed0a8f643">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1065eed93c913b7a46d4945e1cca9645"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195FE-68FF-449E-8BAC-C54FC9E4FC3E}">
  <ds:schemaRefs/>
</ds:datastoreItem>
</file>

<file path=customXml/itemProps2.xml><?xml version="1.0" encoding="utf-8"?>
<ds:datastoreItem xmlns:ds="http://schemas.openxmlformats.org/officeDocument/2006/customXml" ds:itemID="{C34D4780-904D-4D6E-AFC5-773A4ACFCF77}">
  <ds:schemaRefs/>
</ds:datastoreItem>
</file>

<file path=customXml/itemProps3.xml><?xml version="1.0" encoding="utf-8"?>
<ds:datastoreItem xmlns:ds="http://schemas.openxmlformats.org/officeDocument/2006/customXml" ds:itemID="{2A577FC9-7A15-45FB-B846-344D6D7BF295}">
  <ds:schemaRefs/>
</ds:datastoreItem>
</file>

<file path=customXml/itemProps4.xml><?xml version="1.0" encoding="utf-8"?>
<ds:datastoreItem xmlns:ds="http://schemas.openxmlformats.org/officeDocument/2006/customXml" ds:itemID="{3D9CCB2B-042E-4E3B-901A-4117667651A9}">
  <ds:schemaRefs/>
</ds:datastoreItem>
</file>

<file path=docProps/app.xml><?xml version="1.0" encoding="utf-8"?>
<Properties xmlns="http://schemas.openxmlformats.org/officeDocument/2006/extended-properties" xmlns:vt="http://schemas.openxmlformats.org/officeDocument/2006/docPropsVTypes">
  <Template>Normal</Template>
  <Pages>2</Pages>
  <Words>795</Words>
  <Characters>4533</Characters>
  <Lines>37</Lines>
  <Paragraphs>10</Paragraphs>
  <TotalTime>43</TotalTime>
  <ScaleCrop>false</ScaleCrop>
  <LinksUpToDate>false</LinksUpToDate>
  <CharactersWithSpaces>5318</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2024-07-22T06:37:00Z</dcterms:created>
  <dc:creator>Skalošová Marta</dc:creator>
  <cp:lastModifiedBy>Marta Juríčková</cp:lastModifiedBy>
  <dcterms:modified xsi:type="dcterms:W3CDTF">2026-01-09T08:58:59Z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y fmtid="{D5CDD505-2E9C-101B-9397-08002B2CF9AE}" pid="3" name="KSOProductBuildVer">
    <vt:lpwstr>1033-12.2.0.23155</vt:lpwstr>
  </property>
  <property fmtid="{D5CDD505-2E9C-101B-9397-08002B2CF9AE}" pid="4" name="ICV">
    <vt:lpwstr>B98DA330BD47461FADA4109F0465F64E_12</vt:lpwstr>
  </property>
</Properties>
</file>